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95" w:rsidRPr="00EF2B95" w:rsidRDefault="00EF2B95" w:rsidP="00EF2B95">
      <w:pPr>
        <w:shd w:val="clear" w:color="auto" w:fill="FFF1E0"/>
        <w:spacing w:before="100" w:beforeAutospacing="1" w:after="100" w:afterAutospacing="1" w:line="540" w:lineRule="atLeast"/>
        <w:outlineLvl w:val="1"/>
        <w:rPr>
          <w:rFonts w:ascii="Times New Roman" w:eastAsia="KaiTi" w:hAnsi="Times New Roman" w:cs="Times New Roman"/>
          <w:b/>
          <w:bCs/>
          <w:kern w:val="36"/>
          <w:sz w:val="28"/>
          <w:szCs w:val="28"/>
        </w:rPr>
      </w:pPr>
      <w:r w:rsidRPr="00EF2B95">
        <w:rPr>
          <w:rFonts w:ascii="Times New Roman" w:eastAsia="KaiTi" w:hAnsi="Times New Roman" w:cs="Times New Roman"/>
          <w:b/>
          <w:bCs/>
          <w:kern w:val="36"/>
          <w:sz w:val="28"/>
          <w:szCs w:val="28"/>
        </w:rPr>
        <w:t>投机者大举做空英镑</w:t>
      </w:r>
      <w:r w:rsidRPr="00EF2B95">
        <w:rPr>
          <w:rFonts w:ascii="Times New Roman" w:eastAsia="KaiTi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EF2B95" w:rsidRPr="00EF2B95" w:rsidRDefault="00EF2B95" w:rsidP="00EF2B95">
      <w:pPr>
        <w:shd w:val="clear" w:color="auto" w:fill="FFF1E0"/>
        <w:spacing w:before="100" w:beforeAutospacing="1" w:after="100" w:afterAutospacing="1" w:line="336" w:lineRule="auto"/>
        <w:outlineLvl w:val="1"/>
        <w:rPr>
          <w:rFonts w:ascii="Times New Roman" w:eastAsia="KaiTi" w:hAnsi="Times New Roman" w:cs="Times New Roman"/>
          <w:b/>
          <w:bCs/>
          <w:kern w:val="36"/>
          <w:sz w:val="28"/>
          <w:szCs w:val="28"/>
        </w:rPr>
      </w:pPr>
      <w:r w:rsidRPr="00EF2B95">
        <w:rPr>
          <w:rFonts w:ascii="Times New Roman" w:eastAsia="KaiTi" w:hAnsi="Times New Roman" w:cs="Times New Roman"/>
          <w:b/>
          <w:bCs/>
          <w:kern w:val="36"/>
          <w:sz w:val="28"/>
          <w:szCs w:val="28"/>
        </w:rPr>
        <w:t xml:space="preserve">Fund managers bet against sterling </w:t>
      </w:r>
    </w:p>
    <w:p w:rsidR="00EF2B95" w:rsidRPr="00EF2B95" w:rsidRDefault="00EF2B95" w:rsidP="00EF2B95">
      <w:pPr>
        <w:shd w:val="clear" w:color="auto" w:fill="FFF1E0"/>
        <w:spacing w:after="120" w:line="336" w:lineRule="auto"/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</w:pPr>
      <w:r w:rsidRPr="00EF2B95"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  <w:t>英国《金融时报》</w:t>
      </w:r>
      <w:r w:rsidRPr="00EF2B95"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  <w:t xml:space="preserve"> </w:t>
      </w:r>
      <w:hyperlink r:id="rId5" w:tgtFrame="_blank" w:history="1">
        <w:r w:rsidRPr="00EF2B95">
          <w:rPr>
            <w:rFonts w:ascii="Times New Roman" w:eastAsia="KaiTi" w:hAnsi="Times New Roman" w:cs="Times New Roman"/>
            <w:b/>
            <w:bCs/>
            <w:color w:val="777777"/>
            <w:sz w:val="28"/>
            <w:szCs w:val="28"/>
            <w:u w:val="single"/>
          </w:rPr>
          <w:t>艾丽丝</w:t>
        </w:r>
        <w:r w:rsidRPr="00EF2B95">
          <w:rPr>
            <w:rFonts w:ascii="Times New Roman" w:eastAsia="MS Mincho" w:hAnsi="Times New Roman" w:cs="Times New Roman"/>
            <w:b/>
            <w:bCs/>
            <w:color w:val="777777"/>
            <w:sz w:val="28"/>
            <w:szCs w:val="28"/>
            <w:u w:val="single"/>
          </w:rPr>
          <w:t>•</w:t>
        </w:r>
        <w:r w:rsidRPr="00EF2B95">
          <w:rPr>
            <w:rFonts w:ascii="Times New Roman" w:eastAsia="KaiTi" w:hAnsi="Times New Roman" w:cs="Times New Roman"/>
            <w:b/>
            <w:bCs/>
            <w:color w:val="777777"/>
            <w:sz w:val="28"/>
            <w:szCs w:val="28"/>
            <w:u w:val="single"/>
          </w:rPr>
          <w:t>罗斯</w:t>
        </w:r>
      </w:hyperlink>
      <w:r w:rsidRPr="00EF2B95"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  <w:t xml:space="preserve"> , </w:t>
      </w:r>
      <w:hyperlink r:id="rId6" w:tgtFrame="_blank" w:history="1">
        <w:r w:rsidRPr="00EF2B95">
          <w:rPr>
            <w:rFonts w:ascii="Times New Roman" w:eastAsia="KaiTi" w:hAnsi="Times New Roman" w:cs="Times New Roman"/>
            <w:b/>
            <w:bCs/>
            <w:color w:val="777777"/>
            <w:sz w:val="28"/>
            <w:szCs w:val="28"/>
            <w:u w:val="single"/>
          </w:rPr>
          <w:t>罗宾</w:t>
        </w:r>
        <w:r w:rsidRPr="00EF2B95">
          <w:rPr>
            <w:rFonts w:ascii="Times New Roman" w:eastAsia="MS Mincho" w:hAnsi="Times New Roman" w:cs="Times New Roman"/>
            <w:b/>
            <w:bCs/>
            <w:color w:val="777777"/>
            <w:sz w:val="28"/>
            <w:szCs w:val="28"/>
            <w:u w:val="single"/>
          </w:rPr>
          <w:t>•</w:t>
        </w:r>
        <w:r w:rsidRPr="00EF2B95">
          <w:rPr>
            <w:rFonts w:ascii="Times New Roman" w:eastAsia="KaiTi" w:hAnsi="Times New Roman" w:cs="Times New Roman"/>
            <w:b/>
            <w:bCs/>
            <w:color w:val="777777"/>
            <w:sz w:val="28"/>
            <w:szCs w:val="28"/>
            <w:u w:val="single"/>
          </w:rPr>
          <w:t>威格尔斯沃思</w:t>
        </w:r>
      </w:hyperlink>
      <w:r w:rsidRPr="00EF2B95"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  <w:t xml:space="preserve"> </w:t>
      </w:r>
      <w:r w:rsidRPr="00EF2B95">
        <w:rPr>
          <w:rFonts w:ascii="Times New Roman" w:eastAsia="KaiTi" w:hAnsi="Times New Roman" w:cs="Times New Roman"/>
          <w:b/>
          <w:bCs/>
          <w:color w:val="777777"/>
          <w:sz w:val="28"/>
          <w:szCs w:val="28"/>
        </w:rPr>
        <w:t>伦敦报道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0" w:line="240" w:lineRule="auto"/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0" w:line="240" w:lineRule="auto"/>
              <w:jc w:val="center"/>
              <w:rPr>
                <w:rFonts w:ascii="Times New Roman" w:eastAsia="KaiTi" w:hAnsi="Times New Roman" w:cs="Times New Roman"/>
                <w:sz w:val="24"/>
                <w:szCs w:val="24"/>
              </w:rPr>
            </w:pP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Hedge funds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and 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investment managers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are dumping sterling as disappointing economic growth in the UK, 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the threat of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a downgrade of its debt and an upcoming change of guard at the 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Bank of England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have fuelled concerns about a drop in the country’s asset values.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对冲基金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和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投资经理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正抛售英镑，因为令人失望的英国经济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增长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、英国债务信用评级可能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被下调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的威胁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，以及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英国央行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(Bank of England)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行长即将易主，都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加剧了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市场对于该国资产价值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将缩水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的担忧。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More 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speculators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are shorting the pound than buying it for the first time in five months, according to figures from the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US Commodity Futures Trading Commission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that are</w:t>
            </w:r>
            <w:proofErr w:type="gramEnd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used as a proxy for activity in the global hedge fund community. Betting against the pound is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magenta"/>
              </w:rPr>
              <w:t>second only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in popularity to shorting the yen, which has plunged in value against other currencies as investors have positioned themselves for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magenta"/>
              </w:rPr>
              <w:t>more expansionary monetary policy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in Japan.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根据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美国商品期货交易委员会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(CFTC)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的数据，做空英镑的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投机者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数量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高于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买入英镑的投机者数量，这是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5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个月来的首次。这些数据是衡量全球对冲基金行业活动的指标。做空英镑的受欢迎程度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仅次于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做空日元，日元兑其他货币汇率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大幅下挫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，因投资者押注于日本将推行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magenta"/>
              </w:rPr>
              <w:t>更具扩张性的货币政策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。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“The pound seems clearly at risk of following the yen and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suffering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the next large-scale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devaluation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for a major currency,” said </w:t>
            </w:r>
            <w:proofErr w:type="spellStart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Mansoor</w:t>
            </w:r>
            <w:proofErr w:type="spellEnd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Mohi-uddin</w:t>
            </w:r>
            <w:proofErr w:type="spellEnd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, head of global currency strategy at UBS.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瑞银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(UBS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)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全球外汇主管曼苏尔</w:t>
            </w:r>
            <w:r w:rsidRPr="00EF2B95">
              <w:rPr>
                <w:rFonts w:ascii="Times New Roman" w:eastAsia="MS Mincho" w:hAnsi="Times New Roman" w:cs="Times New Roman"/>
                <w:sz w:val="24"/>
                <w:szCs w:val="24"/>
              </w:rPr>
              <w:t>•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莫赫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-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乌丁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(</w:t>
            </w:r>
            <w:proofErr w:type="spellStart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Mansoor</w:t>
            </w:r>
            <w:proofErr w:type="spellEnd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Mohi-uddin</w:t>
            </w:r>
            <w:proofErr w:type="spellEnd"/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)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表示：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“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显然，英镑似乎正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面临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追随日元的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风险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，可能会成为下一个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遭遇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大规模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贬值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的主要货币。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”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Many asset managers, including Franklin Templeton, one of the biggest bond investors in the world, say they have slashed their positions in the gilt market expecting yields to climb and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sterling weaken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. FX Concepts, the currency hedge fund, is among the investors to have 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profited from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 xml:space="preserve"> short sterling trades this year.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很多资产管理公司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——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包括全球最大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债券投资者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之一富兰克林邓普顿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(Franklin Templeton)——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都表示，它们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削减了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英国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国债市场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的头寸，预期这种债券的收益率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将攀升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英镑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将走软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。外汇对冲基金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FX Concepts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是今年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获利于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做空英镑交易的投资者之一。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The pound slid to a seven-month low against the dollar last week after the BoE warned that inflation would continue to be above its target and growth would remain sluggish.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英镑兑美元</w:t>
            </w:r>
            <w:r w:rsidRPr="003E493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汇率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上周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跌至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7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个月低点，此前英国央行警告称，</w:t>
            </w:r>
            <w:r w:rsidRPr="003E4935">
              <w:rPr>
                <w:rFonts w:ascii="Times New Roman" w:eastAsia="KaiTi" w:hAnsi="Times New Roman" w:cs="Times New Roman"/>
                <w:sz w:val="24"/>
                <w:szCs w:val="24"/>
                <w:highlight w:val="yellow"/>
              </w:rPr>
              <w:t>通胀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将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继续高于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目标，而经济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增长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仍将乏力。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lastRenderedPageBreak/>
              <w:t>Sterling fell to its weakest level against the single currency since 2011. Government borrowing costs rose last week to their highest level since April, with 10-year gilt yields climbing above 2.2 per cent.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英镑兑欧元汇率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降至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自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2011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年以来的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最低水平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。政府借款成本上周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升至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自去年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4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月以来的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最高水平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10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年期英国国债收益率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升至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2.2%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上方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。</w:t>
            </w:r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Expectations that Mark Carney, the incoming BoE governor, will be even more dovish than his predecessor have also led to caution on UK assets.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市场预期，即将上任的英国央行行长马克</w:t>
            </w:r>
            <w:r w:rsidRPr="00EF2B95">
              <w:rPr>
                <w:rFonts w:ascii="Times New Roman" w:eastAsia="MS Mincho" w:hAnsi="Times New Roman" w:cs="Times New Roman"/>
                <w:sz w:val="24"/>
                <w:szCs w:val="24"/>
              </w:rPr>
              <w:t>•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卡尼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(Mark Carney)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的政策将比前任</w:t>
            </w:r>
            <w:r w:rsidRPr="004B41B1">
              <w:rPr>
                <w:rFonts w:ascii="Times New Roman" w:eastAsia="KaiTi" w:hAnsi="Times New Roman" w:cs="Times New Roman"/>
                <w:sz w:val="24"/>
                <w:szCs w:val="24"/>
                <w:highlight w:val="red"/>
              </w:rPr>
              <w:t>更温和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，这也</w:t>
            </w:r>
            <w:r w:rsidRPr="003E4935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导致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投资者对英国资产</w:t>
            </w:r>
            <w:r w:rsidRPr="003E4935">
              <w:rPr>
                <w:rFonts w:ascii="Times New Roman" w:eastAsia="KaiTi" w:hAnsi="Times New Roman" w:cs="Times New Roman"/>
                <w:sz w:val="24"/>
                <w:szCs w:val="24"/>
                <w:highlight w:val="cyan"/>
              </w:rPr>
              <w:t>保持</w:t>
            </w:r>
            <w:r w:rsidRPr="00EF2B95">
              <w:rPr>
                <w:rFonts w:ascii="Times New Roman" w:eastAsia="KaiTi" w:hAnsi="Times New Roman" w:cs="Times New Roman"/>
                <w:sz w:val="24"/>
                <w:szCs w:val="24"/>
              </w:rPr>
              <w:t>谨慎。</w:t>
            </w:r>
            <w:bookmarkStart w:id="0" w:name="_GoBack"/>
            <w:bookmarkEnd w:id="0"/>
          </w:p>
        </w:tc>
      </w:tr>
      <w:tr w:rsidR="00EF2B95" w:rsidRPr="00EF2B95" w:rsidTr="00EF2B95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EF2B95" w:rsidRPr="00EF2B95" w:rsidRDefault="00EF2B95" w:rsidP="00EF2B95">
            <w:pPr>
              <w:spacing w:after="0" w:line="240" w:lineRule="auto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EF2B95" w:rsidRPr="00EF2B95" w:rsidRDefault="00EF2B95" w:rsidP="00EF2B95">
            <w:pPr>
              <w:spacing w:after="150" w:line="240" w:lineRule="auto"/>
              <w:ind w:firstLine="480"/>
              <w:rPr>
                <w:rFonts w:ascii="KaiTi" w:eastAsia="KaiTi" w:hAnsi="KaiTi" w:cs="Times New Roman"/>
                <w:sz w:val="24"/>
                <w:szCs w:val="24"/>
              </w:rPr>
            </w:pPr>
            <w:r w:rsidRPr="00EF2B95">
              <w:rPr>
                <w:rFonts w:ascii="KaiTi" w:eastAsia="KaiTi" w:hAnsi="KaiTi" w:cs="Times New Roman" w:hint="eastAsia"/>
                <w:sz w:val="24"/>
                <w:szCs w:val="24"/>
              </w:rPr>
              <w:t>译者/梁艳裳</w:t>
            </w:r>
          </w:p>
        </w:tc>
      </w:tr>
    </w:tbl>
    <w:p w:rsidR="001071EF" w:rsidRPr="00EF2B95" w:rsidRDefault="001071EF" w:rsidP="00EF2B95">
      <w:pPr>
        <w:rPr>
          <w:rFonts w:ascii="KaiTi" w:eastAsia="KaiTi" w:hAnsi="KaiTi"/>
          <w:sz w:val="24"/>
          <w:szCs w:val="24"/>
        </w:rPr>
      </w:pPr>
    </w:p>
    <w:sectPr w:rsidR="001071EF" w:rsidRPr="00EF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95"/>
    <w:rsid w:val="001071EF"/>
    <w:rsid w:val="003E4935"/>
    <w:rsid w:val="004726E6"/>
    <w:rsid w:val="004B41B1"/>
    <w:rsid w:val="00770C72"/>
    <w:rsid w:val="00EF2B95"/>
    <w:rsid w:val="00F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9506937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560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144469496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  <w:div w:id="1263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4942994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557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1285651978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tchinese.com/search/%E7%BD%97%E5%AE%BE%E2%80%A2%E5%A8%81%E6%A0%BC%E5%B0%94%E6%96%AF%E6%B2%83%E6%80%9D/relative_byline" TargetMode="External"/><Relationship Id="rId5" Type="http://schemas.openxmlformats.org/officeDocument/2006/relationships/hyperlink" Target="http://www.ftchinese.com/search/%E8%89%BE%E4%B8%BD%E4%B8%9D%E2%80%A2%E7%BD%97%E6%96%AF/relative_by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3</cp:revision>
  <dcterms:created xsi:type="dcterms:W3CDTF">2013-03-03T15:35:00Z</dcterms:created>
  <dcterms:modified xsi:type="dcterms:W3CDTF">2013-03-10T07:54:00Z</dcterms:modified>
</cp:coreProperties>
</file>