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DD" w:rsidRDefault="00290DDD" w:rsidP="00290DDD">
      <w:pPr>
        <w:shd w:val="clear" w:color="auto" w:fill="FFF1E0"/>
        <w:spacing w:after="0" w:line="336" w:lineRule="auto"/>
        <w:rPr>
          <w:rFonts w:ascii="SimSun" w:eastAsia="SimSun" w:hAnsi="SimSun" w:cs="Times New Roman"/>
          <w:b/>
          <w:bCs/>
          <w:kern w:val="36"/>
          <w:sz w:val="38"/>
          <w:szCs w:val="38"/>
        </w:rPr>
      </w:pPr>
      <w:r w:rsidRPr="00290DDD">
        <w:rPr>
          <w:rFonts w:ascii="SimSun" w:eastAsia="SimSun" w:hAnsi="SimSun" w:cs="Times New Roman" w:hint="eastAsia"/>
          <w:b/>
          <w:bCs/>
          <w:kern w:val="36"/>
          <w:sz w:val="38"/>
          <w:szCs w:val="38"/>
        </w:rPr>
        <w:t>欧洲央行暂停向希腊四家银行提供资金</w:t>
      </w:r>
    </w:p>
    <w:p w:rsidR="00290DDD" w:rsidRPr="00290DDD" w:rsidRDefault="00290DDD" w:rsidP="0075383C">
      <w:pPr>
        <w:shd w:val="clear" w:color="auto" w:fill="FFF1E0"/>
        <w:spacing w:after="0" w:line="336" w:lineRule="auto"/>
        <w:rPr>
          <w:rFonts w:ascii="Georgia" w:eastAsia="SimSun" w:hAnsi="Georgia" w:cs="Times New Roman"/>
          <w:b/>
          <w:bCs/>
          <w:kern w:val="36"/>
          <w:sz w:val="38"/>
          <w:szCs w:val="38"/>
        </w:rPr>
      </w:pPr>
      <w:hyperlink r:id="rId5" w:history="1"/>
      <w:r w:rsidR="0075383C">
        <w:rPr>
          <w:rFonts w:ascii="SimSun" w:eastAsia="SimSun" w:hAnsi="SimSun" w:cs="Times New Roman"/>
          <w:sz w:val="21"/>
          <w:szCs w:val="21"/>
        </w:rPr>
        <w:t xml:space="preserve"> </w:t>
      </w:r>
      <w:r w:rsidRPr="00290DDD">
        <w:rPr>
          <w:rFonts w:ascii="Georgia" w:eastAsia="SimSun" w:hAnsi="Georgia" w:cs="Times New Roman"/>
          <w:b/>
          <w:bCs/>
          <w:kern w:val="36"/>
          <w:sz w:val="38"/>
          <w:szCs w:val="38"/>
        </w:rPr>
        <w:t>ECB presses Athens over banks</w:t>
      </w:r>
    </w:p>
    <w:p w:rsidR="00290DDD" w:rsidRPr="00290DDD" w:rsidRDefault="00290DDD" w:rsidP="00290DDD">
      <w:pPr>
        <w:shd w:val="clear" w:color="auto" w:fill="FFF1E0"/>
        <w:spacing w:after="120" w:line="336" w:lineRule="auto"/>
        <w:rPr>
          <w:rFonts w:ascii="SimSun" w:eastAsia="SimSun" w:hAnsi="SimSun" w:cs="Times New Roman"/>
          <w:b/>
          <w:bCs/>
          <w:color w:val="666666"/>
          <w:sz w:val="21"/>
          <w:szCs w:val="21"/>
        </w:rPr>
      </w:pPr>
      <w:r w:rsidRPr="00290DDD">
        <w:rPr>
          <w:rFonts w:ascii="SimSun" w:eastAsia="SimSun" w:hAnsi="SimSun" w:cs="Times New Roman" w:hint="eastAsia"/>
          <w:b/>
          <w:bCs/>
          <w:color w:val="666666"/>
          <w:sz w:val="21"/>
          <w:szCs w:val="21"/>
        </w:rPr>
        <w:t xml:space="preserve">英国《金融时报》 </w:t>
      </w:r>
      <w:hyperlink r:id="rId6" w:tgtFrame="_blank" w:history="1">
        <w:r w:rsidRPr="00290DDD">
          <w:rPr>
            <w:rFonts w:ascii="SimSun" w:eastAsia="SimSun" w:hAnsi="SimSun" w:cs="Times New Roman" w:hint="eastAsia"/>
            <w:b/>
            <w:bCs/>
            <w:color w:val="666666"/>
            <w:sz w:val="21"/>
            <w:szCs w:val="21"/>
            <w:u w:val="single"/>
          </w:rPr>
          <w:t>拉尔夫•阿特金斯</w:t>
        </w:r>
      </w:hyperlink>
      <w:r w:rsidRPr="00290DDD">
        <w:rPr>
          <w:rFonts w:ascii="SimSun" w:eastAsia="SimSun" w:hAnsi="SimSun" w:cs="Times New Roman" w:hint="eastAsia"/>
          <w:b/>
          <w:bCs/>
          <w:color w:val="666666"/>
          <w:sz w:val="21"/>
          <w:szCs w:val="21"/>
        </w:rPr>
        <w:t xml:space="preserve"> 法兰克福, </w:t>
      </w:r>
      <w:hyperlink r:id="rId7" w:tgtFrame="_blank" w:history="1">
        <w:r w:rsidRPr="00290DDD">
          <w:rPr>
            <w:rFonts w:ascii="SimSun" w:eastAsia="SimSun" w:hAnsi="SimSun" w:cs="Times New Roman" w:hint="eastAsia"/>
            <w:b/>
            <w:bCs/>
            <w:color w:val="666666"/>
            <w:sz w:val="21"/>
            <w:szCs w:val="21"/>
            <w:u w:val="single"/>
          </w:rPr>
          <w:t>彼得•施皮格尔</w:t>
        </w:r>
      </w:hyperlink>
      <w:r w:rsidRPr="00290DDD">
        <w:rPr>
          <w:rFonts w:ascii="SimSun" w:eastAsia="SimSun" w:hAnsi="SimSun" w:cs="Times New Roman" w:hint="eastAsia"/>
          <w:b/>
          <w:bCs/>
          <w:color w:val="666666"/>
          <w:sz w:val="21"/>
          <w:szCs w:val="21"/>
        </w:rPr>
        <w:t xml:space="preserve"> 布鲁塞尔报道</w:t>
      </w:r>
    </w:p>
    <w:p w:rsidR="00290DDD" w:rsidRPr="00290DDD" w:rsidRDefault="00290DDD" w:rsidP="00290DDD">
      <w:pPr>
        <w:shd w:val="clear" w:color="auto" w:fill="FFF1E0"/>
        <w:spacing w:after="150" w:line="336" w:lineRule="auto"/>
        <w:rPr>
          <w:rFonts w:ascii="SimSun" w:eastAsia="SimSun" w:hAnsi="SimSun" w:cs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511"/>
      </w:tblGrid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290DDD" w:rsidRDefault="00290DDD" w:rsidP="00290DDD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290DDD" w:rsidRDefault="00290DDD" w:rsidP="00290DDD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</w:tr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3C">
              <w:rPr>
                <w:rFonts w:ascii="Times New Roman" w:hAnsi="Times New Roman" w:cs="Times New Roman"/>
                <w:sz w:val="24"/>
                <w:szCs w:val="24"/>
              </w:rPr>
              <w:t xml:space="preserve">The European Central Bank has reacted to uncertainty over Greece’s future in the </w:t>
            </w:r>
            <w:proofErr w:type="spellStart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eurozone</w:t>
            </w:r>
            <w:proofErr w:type="spellEnd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 xml:space="preserve"> by excluding four of the country’s banks from its regular liquidity-providing operations.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针对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希腊在欧元区未来的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不确定性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，欧洲央行(ECB)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将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该国四家银行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排除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在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其提供流动性的日常操作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以外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3C">
              <w:rPr>
                <w:rFonts w:ascii="Times New Roman" w:hAnsi="Times New Roman" w:cs="Times New Roman"/>
                <w:sz w:val="24"/>
                <w:szCs w:val="24"/>
              </w:rPr>
              <w:t xml:space="preserve">The move raises the pressure on Greece to stick to its international bailout by highlighting the risk that </w:t>
            </w:r>
            <w:proofErr w:type="spellStart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eurozone</w:t>
            </w:r>
            <w:proofErr w:type="spellEnd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 xml:space="preserve"> central bankers could pull the plug on its financial system.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此举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加大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了对希腊的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压力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，要求该国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遵守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国际纾困的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条件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magenta"/>
              </w:rPr>
              <w:t>因为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它凸显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red"/>
              </w:rPr>
              <w:t>出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一个风险，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magenta"/>
              </w:rPr>
              <w:t>即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欧元区央行官员可能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放弃救助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希腊金融系统。</w:t>
            </w:r>
          </w:p>
        </w:tc>
      </w:tr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It reflected ECB fears that a planned recapitalisation of Greece’s banks could be delayed.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此举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反映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red"/>
              </w:rPr>
              <w:t>出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欧洲央行的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担心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magenta"/>
              </w:rPr>
              <w:t>即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希腊各银行的资本重组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计划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可能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cyan"/>
              </w:rPr>
              <w:t>被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推迟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The four Greek banks, which the ECB did not name, will have to rely instead on “emergency liquidity assistance” – a special temporary facility provided by the Greek central bank but subject to ECB approval. The ECB “continues to support Greek banks”, it said.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这四家希腊银行将只有依靠“紧急流动性援助”——这项临时性的特殊工具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由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希腊央行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提供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，但需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获得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欧洲央行的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批准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。欧洲央行表示，它“将继续支持希腊各银行。”欧洲央行未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披露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这四家银行的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名称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European leaders are trying to turn Greece’s repeat national election next month into a referendum on the country’s membership of the euro, a high-stakes political gamble that officials believe can win back voters disillusioned by the tough bailout conditions but eager to stay in the single currency.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欧洲领导人正试图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将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希腊定于下月重新举行的全国选举，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说成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有关该国欧元区成员国身份的全民公投。官员们认为，这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lightGray"/>
              </w:rPr>
              <w:t>场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高风险的政治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lightGray"/>
              </w:rPr>
              <w:t>赌博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将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赢回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那些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cyan"/>
              </w:rPr>
              <w:t>被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严格的纾困条件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cyan"/>
              </w:rPr>
              <w:t>搞得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心灰意冷、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magenta"/>
              </w:rPr>
              <w:t>但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殷切希望留在欧元区的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选民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3C">
              <w:rPr>
                <w:rFonts w:ascii="Times New Roman" w:hAnsi="Times New Roman" w:cs="Times New Roman"/>
                <w:sz w:val="24"/>
                <w:szCs w:val="24"/>
              </w:rPr>
              <w:t xml:space="preserve">“We want Greece to remain part of our family, of the European Union, and of the euro,” José Manuel </w:t>
            </w:r>
            <w:proofErr w:type="spellStart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Barroso</w:t>
            </w:r>
            <w:proofErr w:type="spellEnd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, president of the European Commission, said. “This being said, the ultimate resolve to stay in the euro area must come from Greece itself.”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“我们希望希腊留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red"/>
              </w:rPr>
              <w:t>在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我们整个大家庭、欧盟以及欧元区。”欧盟委员会(European Commission)主席若泽</w:t>
            </w:r>
            <w:r w:rsidRPr="0075383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•</w:t>
            </w:r>
            <w:r w:rsidRPr="0075383C">
              <w:rPr>
                <w:rFonts w:ascii="KaiTi" w:eastAsia="KaiTi" w:hAnsi="KaiTi" w:cs="KaiTi" w:hint="eastAsia"/>
                <w:b/>
                <w:sz w:val="24"/>
                <w:szCs w:val="24"/>
              </w:rPr>
              <w:t>曼努埃尔</w:t>
            </w:r>
            <w:r w:rsidRPr="0075383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•</w:t>
            </w:r>
            <w:r w:rsidRPr="0075383C">
              <w:rPr>
                <w:rFonts w:ascii="KaiTi" w:eastAsia="KaiTi" w:hAnsi="KaiTi" w:cs="KaiTi" w:hint="eastAsia"/>
                <w:b/>
                <w:sz w:val="24"/>
                <w:szCs w:val="24"/>
              </w:rPr>
              <w:t>巴罗佐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 xml:space="preserve">(José Manuel </w:t>
            </w:r>
            <w:proofErr w:type="spellStart"/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Barroso</w:t>
            </w:r>
            <w:proofErr w:type="spellEnd"/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)表示，“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magenta"/>
              </w:rPr>
              <w:t>但</w:t>
            </w:r>
            <w:r w:rsidRPr="0075383C">
              <w:rPr>
                <w:rFonts w:ascii="KaiTi" w:eastAsia="KaiTi" w:hAnsi="KaiTi" w:cs="Times New Roman" w:hint="eastAsia"/>
                <w:b/>
                <w:color w:val="FF0000"/>
                <w:sz w:val="24"/>
                <w:szCs w:val="24"/>
              </w:rPr>
              <w:t>话说回来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，留在欧元区的最终决心必须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来自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希腊自身。”</w:t>
            </w:r>
          </w:p>
        </w:tc>
      </w:tr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3C">
              <w:rPr>
                <w:rFonts w:ascii="Times New Roman" w:hAnsi="Times New Roman" w:cs="Times New Roman"/>
                <w:sz w:val="24"/>
                <w:szCs w:val="24"/>
              </w:rPr>
              <w:t xml:space="preserve">Speaking in Frankfurt, Mario </w:t>
            </w:r>
            <w:proofErr w:type="spellStart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Draghi</w:t>
            </w:r>
            <w:proofErr w:type="spellEnd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 xml:space="preserve">, ECB president, said the bank’s “strong </w:t>
            </w:r>
            <w:r w:rsidRPr="00753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preference” was for Greece to remain in the </w:t>
            </w:r>
            <w:proofErr w:type="spellStart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eurozone</w:t>
            </w:r>
            <w:proofErr w:type="spellEnd"/>
            <w:r w:rsidRPr="0075383C">
              <w:rPr>
                <w:rFonts w:ascii="Times New Roman" w:hAnsi="Times New Roman" w:cs="Times New Roman"/>
                <w:sz w:val="24"/>
                <w:szCs w:val="24"/>
              </w:rPr>
              <w:t>, which suggested the ECB would maintain its support for its banks as long as possible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lastRenderedPageBreak/>
              <w:t>欧洲央行行长马里奥</w:t>
            </w:r>
            <w:r w:rsidRPr="0075383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•</w:t>
            </w:r>
            <w:r w:rsidRPr="0075383C">
              <w:rPr>
                <w:rFonts w:ascii="KaiTi" w:eastAsia="KaiTi" w:hAnsi="KaiTi" w:cs="KaiTi" w:hint="eastAsia"/>
                <w:b/>
                <w:sz w:val="24"/>
                <w:szCs w:val="24"/>
              </w:rPr>
              <w:t>德拉吉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 xml:space="preserve">(Mario </w:t>
            </w:r>
            <w:proofErr w:type="spellStart"/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Draghi</w:t>
            </w:r>
            <w:proofErr w:type="spellEnd"/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)在法兰克福发表讲话时说，欧洲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lastRenderedPageBreak/>
              <w:t>央行“强烈希望”希腊留在欧元区，这似乎表明，欧洲央行将尽可能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维持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其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对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希腊各银行的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支持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ECB said that once the recapitalisation process was “finalised”, the banks would regain access to standard liquidity operations. This could happen within days, according to ECB and Greek officials.</w:t>
            </w: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欧洲央行指出，一旦“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敲定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”资本重组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过程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，相关银行将重新</w:t>
            </w:r>
            <w:r w:rsidRPr="00686F3A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成为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欧洲央行日常流动性操作的</w:t>
            </w:r>
            <w:r w:rsidRPr="00686F3A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对象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  <w:r w:rsidRPr="00686F3A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据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欧洲央行和希腊政府官员</w:t>
            </w:r>
            <w:r w:rsidRPr="00686F3A">
              <w:rPr>
                <w:rFonts w:ascii="KaiTi" w:eastAsia="KaiTi" w:hAnsi="KaiTi" w:cs="Times New Roman" w:hint="eastAsia"/>
                <w:b/>
                <w:sz w:val="24"/>
                <w:szCs w:val="24"/>
                <w:highlight w:val="green"/>
              </w:rPr>
              <w:t>表示</w:t>
            </w: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，这可能在数日之内</w:t>
            </w:r>
            <w:r w:rsidRPr="00686F3A">
              <w:rPr>
                <w:rFonts w:ascii="KaiTi" w:eastAsia="KaiTi" w:hAnsi="KaiTi" w:cs="Times New Roman" w:hint="eastAsia"/>
                <w:b/>
                <w:sz w:val="24"/>
                <w:szCs w:val="24"/>
                <w:highlight w:val="yellow"/>
              </w:rPr>
              <w:t>成为现实</w:t>
            </w:r>
            <w:bookmarkStart w:id="0" w:name="_GoBack"/>
            <w:bookmarkEnd w:id="0"/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290DDD" w:rsidRPr="00290DDD" w:rsidTr="00290DDD">
        <w:trPr>
          <w:tblCellSpacing w:w="15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90DDD" w:rsidRPr="00290DDD" w:rsidRDefault="00290DDD" w:rsidP="00290DDD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90DDD" w:rsidRPr="0075383C" w:rsidRDefault="00290DDD" w:rsidP="00290DDD">
            <w:pPr>
              <w:spacing w:after="150" w:line="240" w:lineRule="auto"/>
              <w:ind w:firstLine="480"/>
              <w:jc w:val="both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75383C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译者/薛磊</w:t>
            </w:r>
          </w:p>
        </w:tc>
      </w:tr>
    </w:tbl>
    <w:p w:rsidR="00650B1B" w:rsidRDefault="00650B1B"/>
    <w:sectPr w:rsidR="00650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DD"/>
    <w:rsid w:val="00290DDD"/>
    <w:rsid w:val="00650B1B"/>
    <w:rsid w:val="00686F3A"/>
    <w:rsid w:val="0075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  <w:divsChild>
            <w:div w:id="17502255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12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34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tchinese.com/search/%E5%BD%BC%E5%BE%97%E2%80%A2%E6%96%BD%E7%9A%AE%E6%A0%BC%E5%B0%94/relative_byli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tchinese.com/search/%E6%8B%89%E5%B0%94%E5%A4%AB%E2%80%A2%E9%98%BF%E7%89%B9%E9%87%91%E6%96%AF/relative_byline" TargetMode="External"/><Relationship Id="rId5" Type="http://schemas.openxmlformats.org/officeDocument/2006/relationships/hyperlink" Target="http://www.ftchinese.com/archiver/2012-05-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Cheng</dc:creator>
  <cp:lastModifiedBy>Linda Cheng</cp:lastModifiedBy>
  <cp:revision>2</cp:revision>
  <dcterms:created xsi:type="dcterms:W3CDTF">2012-06-07T19:48:00Z</dcterms:created>
  <dcterms:modified xsi:type="dcterms:W3CDTF">2012-08-28T15:29:00Z</dcterms:modified>
</cp:coreProperties>
</file>