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75" w:rsidRPr="00215E75" w:rsidRDefault="00215E75" w:rsidP="00215E75">
      <w:pPr>
        <w:shd w:val="clear" w:color="auto" w:fill="FFF1E0"/>
        <w:spacing w:before="100" w:beforeAutospacing="1" w:after="100" w:afterAutospacing="1" w:line="540" w:lineRule="atLeast"/>
        <w:outlineLvl w:val="1"/>
        <w:rPr>
          <w:rFonts w:ascii="SimSun" w:eastAsia="SimSun" w:hAnsi="SimSun" w:cs="Times New Roman"/>
          <w:b/>
          <w:bCs/>
          <w:kern w:val="36"/>
          <w:sz w:val="38"/>
          <w:szCs w:val="38"/>
        </w:rPr>
      </w:pPr>
      <w:r w:rsidRPr="00215E75">
        <w:rPr>
          <w:rFonts w:ascii="SimSun" w:eastAsia="SimSun" w:hAnsi="SimSun" w:cs="Times New Roman" w:hint="eastAsia"/>
          <w:b/>
          <w:bCs/>
          <w:kern w:val="36"/>
          <w:sz w:val="38"/>
          <w:szCs w:val="38"/>
        </w:rPr>
        <w:t xml:space="preserve">下游行业艰难应对原材料成本上涨 </w:t>
      </w:r>
      <w:bookmarkStart w:id="0" w:name="_GoBack"/>
      <w:bookmarkEnd w:id="0"/>
    </w:p>
    <w:p w:rsidR="00215E75" w:rsidRPr="00215E75" w:rsidRDefault="00215E75" w:rsidP="00215E75">
      <w:pPr>
        <w:shd w:val="clear" w:color="auto" w:fill="FFF1E0"/>
        <w:spacing w:before="100" w:beforeAutospacing="1" w:after="100" w:afterAutospacing="1" w:line="336" w:lineRule="auto"/>
        <w:outlineLvl w:val="1"/>
        <w:rPr>
          <w:rFonts w:ascii="Georgia" w:eastAsia="SimSun" w:hAnsi="Georgia" w:cs="Times New Roman"/>
          <w:b/>
          <w:bCs/>
          <w:kern w:val="36"/>
          <w:sz w:val="38"/>
          <w:szCs w:val="38"/>
        </w:rPr>
      </w:pPr>
      <w:r w:rsidRPr="00215E75">
        <w:rPr>
          <w:rFonts w:ascii="Georgia" w:eastAsia="SimSun" w:hAnsi="Georgia" w:cs="Times New Roman"/>
          <w:b/>
          <w:bCs/>
          <w:kern w:val="36"/>
          <w:sz w:val="38"/>
          <w:szCs w:val="38"/>
        </w:rPr>
        <w:t>Companies battle with rising cost of raw materials</w:t>
      </w:r>
    </w:p>
    <w:p w:rsidR="00215E75" w:rsidRPr="00215E75" w:rsidRDefault="00215E75" w:rsidP="00215E75">
      <w:pPr>
        <w:shd w:val="clear" w:color="auto" w:fill="FFF1E0"/>
        <w:spacing w:after="120" w:line="336" w:lineRule="auto"/>
        <w:rPr>
          <w:rFonts w:ascii="SimSun" w:eastAsia="SimSun" w:hAnsi="SimSun" w:cs="Times New Roman"/>
          <w:b/>
          <w:bCs/>
          <w:color w:val="666666"/>
          <w:sz w:val="21"/>
          <w:szCs w:val="21"/>
        </w:rPr>
      </w:pPr>
      <w:r w:rsidRPr="00215E75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英国《金融时报》 </w:t>
      </w:r>
      <w:hyperlink r:id="rId5" w:tgtFrame="_blank" w:history="1">
        <w:r w:rsidRPr="00215E75">
          <w:rPr>
            <w:rFonts w:ascii="SimSun" w:eastAsia="SimSun" w:hAnsi="SimSun" w:cs="Times New Roman" w:hint="eastAsia"/>
            <w:b/>
            <w:bCs/>
            <w:color w:val="666666"/>
            <w:sz w:val="21"/>
            <w:szCs w:val="21"/>
            <w:u w:val="single"/>
          </w:rPr>
          <w:t>哈维尔•布拉斯</w:t>
        </w:r>
      </w:hyperlink>
      <w:r w:rsidRPr="00215E75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 伦敦报道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511"/>
      </w:tblGrid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215E75" w:rsidRDefault="00215E75" w:rsidP="00215E75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215E75" w:rsidRDefault="00215E75" w:rsidP="00215E75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High </w:t>
            </w:r>
            <w:r w:rsidRPr="006E4D7F">
              <w:rPr>
                <w:rFonts w:ascii="Times New Roman" w:eastAsia="SimSun" w:hAnsi="Times New Roman" w:cs="Times New Roman"/>
                <w:sz w:val="28"/>
                <w:szCs w:val="28"/>
              </w:rPr>
              <w:t>oil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and </w:t>
            </w:r>
            <w:r w:rsidRPr="006E4D7F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commodities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prices are starting to dent the </w:t>
            </w:r>
            <w:r w:rsidRPr="006E4D7F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profitability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of the world’s largest industrial and consumer goods companies, with businesses from Procter &amp; Gamble in the US to BASF in Europe warning of a strong </w:t>
            </w:r>
            <w:r w:rsidRPr="003037D7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headwind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3037D7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高涨的</w:t>
            </w:r>
            <w:r w:rsidRPr="006E4D7F">
              <w:rPr>
                <w:rFonts w:asciiTheme="minorEastAsia" w:hAnsiTheme="minorEastAsia" w:cs="Times New Roman" w:hint="eastAsia"/>
                <w:sz w:val="28"/>
                <w:szCs w:val="28"/>
              </w:rPr>
              <w:t>石油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及</w:t>
            </w:r>
            <w:r w:rsidRPr="006E4D7F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大宗商品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价格正开始</w:t>
            </w:r>
            <w:r w:rsidRPr="006E4D7F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削弱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世界最大的工业及消费品企业的</w:t>
            </w:r>
            <w:r w:rsidRPr="003037D7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  <w:u w:val="single"/>
              </w:rPr>
              <w:t>盈利能力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，从美国的</w:t>
            </w:r>
            <w:r w:rsidRPr="009F1FE7">
              <w:rPr>
                <w:rFonts w:asciiTheme="minorEastAsia" w:hAnsiTheme="minorEastAsia" w:cs="Times New Roman" w:hint="eastAsia"/>
                <w:color w:val="C00000"/>
                <w:sz w:val="28"/>
                <w:szCs w:val="28"/>
              </w:rPr>
              <w:t>宝洁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(Procter &amp; Gamble)到欧洲的</w:t>
            </w:r>
            <w:r w:rsidRPr="009F1FE7">
              <w:rPr>
                <w:rFonts w:asciiTheme="minorEastAsia" w:hAnsiTheme="minorEastAsia" w:cs="Times New Roman" w:hint="eastAsia"/>
                <w:color w:val="C00000"/>
                <w:sz w:val="28"/>
                <w:szCs w:val="28"/>
              </w:rPr>
              <w:t>巴斯夫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(BASF)都</w:t>
            </w:r>
            <w:r w:rsidR="003037D7">
              <w:rPr>
                <w:rFonts w:asciiTheme="minorEastAsia" w:hAnsiTheme="minorEastAsia" w:cs="Times New Roman" w:hint="eastAsia"/>
                <w:sz w:val="28"/>
                <w:szCs w:val="28"/>
              </w:rPr>
              <w:t>在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警告</w:t>
            </w:r>
            <w:r w:rsidR="003037D7">
              <w:rPr>
                <w:rFonts w:asciiTheme="minorEastAsia" w:hAnsiTheme="minorEastAsia" w:cs="Times New Roman" w:hint="eastAsia"/>
                <w:sz w:val="28"/>
                <w:szCs w:val="28"/>
              </w:rPr>
              <w:t>它们的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业务面临强劲</w:t>
            </w:r>
            <w:r w:rsidRPr="003037D7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逆风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>As companies release their results for the first quarter, executives are warning that rising raw materials prices, particularly oil, are now a problem.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D05143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随着企业</w:t>
            </w:r>
            <w:r w:rsidRPr="006E4D7F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披露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第一季度财</w:t>
            </w:r>
            <w:r w:rsidR="006E4D7F">
              <w:rPr>
                <w:rFonts w:asciiTheme="minorEastAsia" w:hAnsiTheme="minorEastAsia" w:cs="Times New Roman" w:hint="eastAsia"/>
                <w:sz w:val="28"/>
                <w:szCs w:val="28"/>
              </w:rPr>
              <w:t>物报告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，高管们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警告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，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原材料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价格（尤其是油价）上涨已经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构成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严重问题。</w:t>
            </w: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Commodities prices “remain stubbornly high”, Jean-Marc </w:t>
            </w:r>
            <w:proofErr w:type="spellStart"/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>Huët</w:t>
            </w:r>
            <w:proofErr w:type="spellEnd"/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chief financial officer at Unilever, the world’s second largest consumer goods company, said. Thomas Falk, chief executive of Kimberly-Clark, the maker of </w:t>
            </w:r>
            <w:proofErr w:type="spellStart"/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>Huggies</w:t>
            </w:r>
            <w:proofErr w:type="spellEnd"/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nappies, added: “Most </w:t>
            </w:r>
            <w:r w:rsidRPr="00D05143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oil-based costs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are tracking a </w:t>
            </w:r>
            <w:r w:rsidRPr="003037D7">
              <w:rPr>
                <w:rFonts w:ascii="Times New Roman" w:eastAsia="SimSun" w:hAnsi="Times New Roman" w:cs="Times New Roman"/>
                <w:sz w:val="28"/>
                <w:szCs w:val="28"/>
                <w:highlight w:val="green"/>
              </w:rPr>
              <w:t>little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higher than we expected.”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全球第二大消费品企业</w:t>
            </w:r>
            <w:r w:rsidRPr="009F1FE7">
              <w:rPr>
                <w:rFonts w:asciiTheme="minorEastAsia" w:hAnsiTheme="minorEastAsia" w:cs="Times New Roman" w:hint="eastAsia"/>
                <w:color w:val="C00000"/>
                <w:sz w:val="28"/>
                <w:szCs w:val="28"/>
              </w:rPr>
              <w:t>联合利华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(Unilever)首席财务官让-马克•于埃(Jean-Marc </w:t>
            </w:r>
            <w:proofErr w:type="spellStart"/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Huët</w:t>
            </w:r>
            <w:proofErr w:type="spellEnd"/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)表示，大宗商品价格“居高不下”。</w:t>
            </w:r>
            <w:r w:rsidRPr="009F1FE7">
              <w:rPr>
                <w:rFonts w:asciiTheme="minorEastAsia" w:hAnsiTheme="minorEastAsia" w:cs="Times New Roman" w:hint="eastAsia"/>
                <w:color w:val="C00000"/>
                <w:sz w:val="28"/>
                <w:szCs w:val="28"/>
              </w:rPr>
              <w:t>金佰利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公司（Kimberly-Clark，</w:t>
            </w:r>
            <w:r w:rsidRPr="009F1FE7">
              <w:rPr>
                <w:rFonts w:asciiTheme="minorEastAsia" w:hAnsiTheme="minorEastAsia" w:cs="Times New Roman" w:hint="eastAsia"/>
                <w:color w:val="FF0000"/>
                <w:sz w:val="28"/>
                <w:szCs w:val="28"/>
              </w:rPr>
              <w:t>好奇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(</w:t>
            </w:r>
            <w:proofErr w:type="spellStart"/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Huggies</w:t>
            </w:r>
            <w:proofErr w:type="spellEnd"/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)纸尿裤生产商）首席执行官</w:t>
            </w:r>
            <w:r w:rsidRPr="009F1FE7">
              <w:rPr>
                <w:rFonts w:asciiTheme="minorEastAsia" w:hAnsiTheme="minorEastAsia" w:cs="Times New Roman" w:hint="eastAsia"/>
                <w:color w:val="FF0000"/>
                <w:sz w:val="28"/>
                <w:szCs w:val="28"/>
              </w:rPr>
              <w:t>托马斯•佛尔克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(Thomas Falk) 指出：“多数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基于石油的成本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的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涨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lastRenderedPageBreak/>
              <w:t>势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都</w:t>
            </w:r>
            <w:r w:rsidRPr="003037D7">
              <w:rPr>
                <w:rFonts w:asciiTheme="minorEastAsia" w:hAnsiTheme="minorEastAsia" w:cs="Times New Roman" w:hint="eastAsia"/>
                <w:sz w:val="28"/>
                <w:szCs w:val="28"/>
                <w:highlight w:val="green"/>
              </w:rPr>
              <w:t>略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高于我们的预期。”</w:t>
            </w: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Brent crude prices averaged $118.5 a barrel in the first quarter of the year, the second highest quarterly average, below only the March-June period of 2008. Oil rose above $120 a barrel yesterday after hitting a </w:t>
            </w:r>
            <w:r w:rsidRPr="00D05143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peak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of $128 in March.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今年第一季度，</w:t>
            </w:r>
            <w:r w:rsidRPr="009F1FE7">
              <w:rPr>
                <w:rFonts w:asciiTheme="minorEastAsia" w:hAnsiTheme="minorEastAsia" w:cs="Times New Roman" w:hint="eastAsia"/>
                <w:color w:val="FF0000"/>
                <w:sz w:val="28"/>
                <w:szCs w:val="28"/>
              </w:rPr>
              <w:t>布伦特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(Brent)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原油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均价达每桶118.5美元，这是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均价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第二高的季度，仅次于2008年3月-6月期间的价格。昨日，石油价格上涨到每桶120美元，3月份曾一度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飙升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至128美元的</w:t>
            </w:r>
            <w:r w:rsidRPr="00D05143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峰值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The cost of oil, which feeds into </w:t>
            </w:r>
            <w:r w:rsidRPr="009F1FE7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petrochemicals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and plastics, was up 10 per cent on average between January and March compared with the first quarter of a year ago on the back of </w:t>
            </w:r>
            <w:r w:rsidRPr="009F1FE7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supply disruptions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and geopolitical fears about Iran.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石油是很多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石化</w:t>
            </w:r>
            <w:r w:rsidR="009F1FE7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 xml:space="preserve">(石油化工) 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产品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和塑料的原材料。今年首季油价</w:t>
            </w:r>
            <w:r w:rsidR="009F1FE7">
              <w:rPr>
                <w:rFonts w:asciiTheme="minorEastAsia" w:hAnsiTheme="minorEastAsia" w:cs="Times New Roman" w:hint="eastAsia"/>
                <w:sz w:val="28"/>
                <w:szCs w:val="28"/>
              </w:rPr>
              <w:t>比同期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平均上涨10%，原因包括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yellow"/>
              </w:rPr>
              <w:t>供应中断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和</w:t>
            </w:r>
            <w:r w:rsidR="009F1FE7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关</w:t>
            </w:r>
            <w:r w:rsidR="009F1FE7">
              <w:rPr>
                <w:rFonts w:asciiTheme="minorEastAsia" w:hAnsiTheme="minorEastAsia" w:cs="Times New Roman" w:hint="eastAsia"/>
                <w:sz w:val="28"/>
                <w:szCs w:val="28"/>
              </w:rPr>
              <w:t>于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伊朗的地缘政治担忧。</w:t>
            </w: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>Morgan Stanley said that the oil spike of 2008 acted as a drag on equities only once oil rose above $120 a barrel. The bank said that traditionally consumer goods companies suffer the most during a surge in oil prices.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F1FE7">
              <w:rPr>
                <w:rFonts w:asciiTheme="minorEastAsia" w:hAnsiTheme="minorEastAsia" w:cs="Times New Roman" w:hint="eastAsia"/>
                <w:color w:val="FF0000"/>
                <w:sz w:val="28"/>
                <w:szCs w:val="28"/>
              </w:rPr>
              <w:t>摩根士丹利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(Morgan Stanley)表示，2008年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u w:val="single"/>
              </w:rPr>
              <w:t>油价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暴涨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期间，油价在每桶超过120美元时开始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拖累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u w:val="single"/>
              </w:rPr>
              <w:t>股市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。这家银行指出，传统上，油价上涨期间消费产品类企业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遭受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的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u w:val="single"/>
              </w:rPr>
              <w:t>冲击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最严重。</w:t>
            </w: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Industrial and consumer goods companies have </w:t>
            </w:r>
            <w:r w:rsidRPr="009F1FE7">
              <w:rPr>
                <w:rFonts w:ascii="Times New Roman" w:eastAsia="SimSun" w:hAnsi="Times New Roman" w:cs="Times New Roman"/>
                <w:sz w:val="28"/>
                <w:szCs w:val="28"/>
                <w:highlight w:val="cyan"/>
              </w:rPr>
              <w:t>raised prices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several times in the past year to </w:t>
            </w:r>
            <w:r w:rsidRPr="009F1FE7">
              <w:rPr>
                <w:rFonts w:ascii="Times New Roman" w:eastAsia="SimSun" w:hAnsi="Times New Roman" w:cs="Times New Roman"/>
                <w:sz w:val="28"/>
                <w:szCs w:val="28"/>
                <w:highlight w:val="cyan"/>
              </w:rPr>
              <w:t>counter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rising oil and other commodities prices. But 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some said in conference calls with investors after releasing first-quarter results they were struggling to recover full cost increases due to weak economic growth and high un</w:t>
            </w:r>
            <w:r w:rsidRPr="00033741">
              <w:rPr>
                <w:rFonts w:ascii="Times New Roman" w:eastAsia="SimSun" w:hAnsi="Times New Roman" w:cs="Times New Roman"/>
                <w:sz w:val="28"/>
                <w:szCs w:val="28"/>
              </w:rPr>
              <w:softHyphen/>
              <w:t>employment in western countries.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9F1FE7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过去一年里，为了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抵消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油价和其他大宗商品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u w:val="single"/>
              </w:rPr>
              <w:t>价格上涨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，工业和消费品企业已经数次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提价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。但有些公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司在发布第一季度财报后与投资者举行的电话会议中表示，它们难以完全</w:t>
            </w:r>
            <w:r w:rsidRPr="009F1FE7">
              <w:rPr>
                <w:rFonts w:asciiTheme="minorEastAsia" w:hAnsiTheme="minorEastAsia" w:cs="Times New Roman" w:hint="eastAsia"/>
                <w:sz w:val="28"/>
                <w:szCs w:val="28"/>
                <w:highlight w:val="cyan"/>
              </w:rPr>
              <w:t>弥补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成本上涨，原因是西方国家</w:t>
            </w:r>
            <w:r w:rsidR="009F1FE7"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疲软</w:t>
            </w:r>
            <w:r w:rsidR="009F1FE7">
              <w:rPr>
                <w:rFonts w:asciiTheme="minorEastAsia" w:hAnsiTheme="minorEastAsia" w:cs="Times New Roman" w:hint="eastAsia"/>
                <w:sz w:val="28"/>
                <w:szCs w:val="28"/>
              </w:rPr>
              <w:t>的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经济增长和</w:t>
            </w:r>
            <w:r w:rsidR="009F1FE7">
              <w:rPr>
                <w:rFonts w:asciiTheme="minorEastAsia" w:hAnsiTheme="minorEastAsia" w:cs="Times New Roman" w:hint="eastAsia"/>
                <w:sz w:val="28"/>
                <w:szCs w:val="28"/>
              </w:rPr>
              <w:t>高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失业率</w:t>
            </w:r>
            <w:r w:rsidR="009F1FE7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  <w:tr w:rsidR="00215E75" w:rsidRPr="00215E75" w:rsidTr="009E6D13">
        <w:trPr>
          <w:tblCellSpacing w:w="15" w:type="dxa"/>
        </w:trPr>
        <w:tc>
          <w:tcPr>
            <w:tcW w:w="2501" w:type="pct"/>
            <w:tcBorders>
              <w:right w:val="dashed" w:sz="6" w:space="0" w:color="CCCCCC"/>
            </w:tcBorders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215E75" w:rsidRPr="00033741" w:rsidRDefault="00215E75" w:rsidP="00033741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215E75" w:rsidRPr="00033741" w:rsidRDefault="00215E75" w:rsidP="00033741">
            <w:pPr>
              <w:spacing w:after="150" w:line="360" w:lineRule="auto"/>
              <w:ind w:firstLine="4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741">
              <w:rPr>
                <w:rFonts w:asciiTheme="minorEastAsia" w:hAnsiTheme="minorEastAsia" w:cs="Times New Roman" w:hint="eastAsia"/>
                <w:sz w:val="28"/>
                <w:szCs w:val="28"/>
              </w:rPr>
              <w:t>译者/倪卫国</w:t>
            </w:r>
          </w:p>
        </w:tc>
      </w:tr>
    </w:tbl>
    <w:p w:rsidR="008551E2" w:rsidRDefault="008551E2" w:rsidP="00033741">
      <w:pPr>
        <w:spacing w:line="360" w:lineRule="auto"/>
      </w:pPr>
    </w:p>
    <w:sectPr w:rsidR="00855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75"/>
    <w:rsid w:val="00033741"/>
    <w:rsid w:val="00215E75"/>
    <w:rsid w:val="003037D7"/>
    <w:rsid w:val="006E4D7F"/>
    <w:rsid w:val="008551E2"/>
    <w:rsid w:val="009E6D13"/>
    <w:rsid w:val="009F1FE7"/>
    <w:rsid w:val="00B068E0"/>
    <w:rsid w:val="00D0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4105483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7034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  <w:div w:id="544021589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tchinese.com/search/%E5%93%88%E7%BB%B4%E5%B0%94%E2%80%A2%E5%B8%83%E6%8B%89%E6%96%AF/relative_by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Cheng</dc:creator>
  <cp:lastModifiedBy>Linda Cheng</cp:lastModifiedBy>
  <cp:revision>4</cp:revision>
  <dcterms:created xsi:type="dcterms:W3CDTF">2012-05-04T01:01:00Z</dcterms:created>
  <dcterms:modified xsi:type="dcterms:W3CDTF">2012-05-04T07:39:00Z</dcterms:modified>
</cp:coreProperties>
</file>